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TEMOS 03 VAGAS PARA 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AUXILIAR DE COZINHA- ENTREVISTA DIA 11/04/2024 ÁS 14:00HS NA AGENCIA DO TRABALHADOR-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RETROESCAVADEIRA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experiência, disponibilidade de trabalhar em finais de semana e viajar.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ENGENHEIRO CIVIL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superior concluido.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MOTORISTA DE CAMINHÃO BI-TRUCK – 20 VAGAS 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caminhão automático, ,caminhão de ração em estrada rural, ter CNH ‘C’ e EAR  trabalhar por escala 6x1.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 METALICA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PEDREIRO                                                     - com experiência.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--------------------------------------------------------------------------------------------------------------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--------------------------------------------------------------------------------------------------------------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b/>
                <w:sz w:val="26"/>
              </w:rPr>
              <w:t>VAGA PARA TRABALHAR E MORAR EM FAZENDA NO MUNICÍPIO DE TIBAGI-PR.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-AUXILIAR DE ESCRITÓRIO –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-OPERADOR DE SECADOR – COM EXPERIÊNCIA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INTERESSADOS LIGAR PARA NÚMERO (42) 99128-4897 FALAR COM DAVI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EMPRESA AGUIA SISTEMAS DE ARMAZENAGEM PONTA GROSSA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ESTÁ COM 20 VAGAS ABERTAS PARA AUXILIAR DE MONTAGEM DE ESTRUTURA METALICAS,  INTERESSADOS TER DISPONIBILIDADE PARA VIAGENS, VAI PASSAR 30 DIAS  VIAJANDO E TEM DIREITO A 03 DIAS DE FOLGA.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INTERESSADOS LIGAR NUMERO (42) 3220-2666 COM MYLENE OU ENVIAR CURRÍ-CULO POR EMAIL: </w:t>
            </w:r>
            <w:hyperlink r:id="rId3">
              <w:r>
                <w:rPr>
                  <w:rStyle w:val="Hyperlink"/>
                  <w:b/>
                  <w:color w:val="000080"/>
                  <w:u w:val="single"/>
                </w:rPr>
                <w:t>mylene.pickler@aguiasistemas.com.br</w:t>
              </w:r>
            </w:hyperlink>
            <w:r>
              <w:rPr>
                <w:b/>
                <w:color w:val="000080"/>
                <w:u w:val="single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ylene.pickler@aguiasistemas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