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MAQUINA DE LAVAR ROUPAS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Disponibilidade de horário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Com experiencia em carteira com soldas MIG,TIG E OXIGAS,  vivencia na área de manutenção agrícola, ter 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CNH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MECANICO DE AUTOS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minimo 06 meses, mecanica de veículos a motores a diesel, se tiver o curso do senai será um diferencial.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ANALISTA DE LOGÍSTICA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Com experiência comm planejamento e controle de logística, elaborar relatório e planilhas e demais serviços do cargo, visão analitica e estratégica, conhecimento avançado em excel. Ter ensino superior em engenharia de produção, administração ou logistica.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SUPERVISOR DE SUPRIMENTOS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supervisionar equipe de compras,desenvolver e implementar estratégicas de compras, habilidade de negociação  e demais serviços  do cargo, familiaridade com sistemas de gestão de compras e processos logisticos.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GERENTE DE LOJA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Ter experiência comprovada em carteira, ter ensino médio ou estar cursando ou concluido ensino superior em Administração/Economia ou Gestão Comercial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VENDEDOR DE COMÉRCIO VAREJISTA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Ter experiência comprovada em carteira, ter ensino médio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MOTORISTA ENTREGADOR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Fará serviços de entrega na região, ter conhecimento da região, Ter CNH ‘B’, disponibilidade para viagens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ABATEDOR DE AVES HALAL( VAGA EXCLUSIVA PCD)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 EXCLUSIVA PCD</w:t>
            </w:r>
            <w:r>
              <w:rPr/>
              <w:t xml:space="preserve"> – ser mulcumano praticante, realizar o abate halal de animais de acordo com os requisitos da jurisprudência islâmica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ANALISTA DE RECURSOS HUMANOS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MONITOR EXTERNO DE ALARMES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Trabalhar com vigia,  efetuar rondas externas ter  CNH AB  e veiculo próprio, vaga pra trabalhar (12x36 -20:00ÁS08:00HS ) e( SDF das 08:00às020:00hs)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AUXILIAR DE LAVANDERIA-</w:t>
            </w:r>
            <w:r>
              <w:rPr>
                <w:b/>
                <w:sz w:val="20"/>
              </w:rPr>
              <w:t>VAGA EXCLUSIVA “PCD”(PESSOAS COM DEFICIÊNCIA)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AUXILAR ADMINISTRATIVO –</w:t>
            </w:r>
            <w:r>
              <w:rPr>
                <w:b/>
                <w:sz w:val="20"/>
              </w:rPr>
              <w:t xml:space="preserve"> VAGA EXCLUSIVA APRENDIZ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De 18 à 22 anos, estar cursando ou concluído o ensino médio, ter disponibilidade de fazer o curso em Ponta 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SELECIONADOR DE MATERIAL RECICLÁVEL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disponibilidade de horário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OPERADOR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Realizará entrega de uniformes,atendimento aos colaboradores e apoio na limpeza e organização dos banheiros, ter disponibilidade de horário.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PEDREIRO       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SERVENTE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Experiência- morador de Carambeí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CARPINTEIRO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Com experiência –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ARMADOR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Com experiência.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